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07 178 vom 20. Mai 2008</w:t>
      </w:r>
    </w:p>
    <w:p>
      <w:r>
        <w:t>VS Kantonsgericht, 2008-05-20, DE</w:t>
      </w:r>
    </w:p>
    <w:p>
      <w:r>
        <w:rPr>
          <w:b/>
        </w:rPr>
        <w:t xml:space="preserve">Quelle: </w:t>
      </w:r>
      <w:r>
        <w:t>https://mcp.opencaselaw.ch/entscheid/vs_gerichte_S1 07 178</w:t>
      </w:r>
    </w:p>
    <w:p>
      <w:r>
        <w:t>FR: VS_GERICHTE S1 07 178 du 20 mai 2008</w:t>
      </w:r>
    </w:p>
    <w:p>
      <w:r>
        <w:t>IT: VS_GERICHTE S1 07 178 del 20 maggio 2008</w:t>
      </w:r>
    </w:p>
    <w:p>
      <w:pPr>
        <w:pStyle w:val="Heading2"/>
      </w:pPr>
      <w:r>
        <w:t>Regeste</w:t>
      </w:r>
    </w:p>
    <w:p>
      <w:r>
        <w:t>114 Familienzulagen Allocations familiales KGVS S1 07 178 KVGE X. c CIVAF vom 20. Mai 2008 Beitragsrechtliche Qualifikation des Einkommens − Das Einkommen eines Geschäftsführers einer Schwimmbadanlage stellt massgebenden Lohn dar. − Beitragserhebung auf lediglich gutgeschriebene Entgelte. Qualification juridique du revenu pour le calcul des cotisations. − Le revenu d'un gérant de piscine constitue son salaire déterminant. − Prélèvement de cotisations uniquement sur un salaire comptabilisé. Sachverhalt A. Auf Geheiss des Kantonalen Familienzulageamtes veranlasste die CIVAF bei der Y. SA eine Lohnkontrolle. Aufgrund der von der Aktiengesellschaft zur Verfügung gestellten Unterlagen verfügte die CIVAF am 22. Mai 2007 eine Nachzahlung von Fr. 301.65. Diese Nachforderung beruhte auf den von der Y. SA an W. in der Buchhaltung gutgeschriebenen Entgelte. W. war der Geschäftsführer der Schwimmbadanlage der Y. SA, wobei ihm ein jährliches Fixum von Fr. 38'000.-- sowie 25% der Billeteinnahmen vertraglich</w:t>
      </w:r>
    </w:p>
    <w:p>
      <w:pPr>
        <w:pStyle w:val="Heading2"/>
      </w:pPr>
      <w:r>
        <w:t>Erwägungen</w:t>
      </w:r>
    </w:p>
    <w:p>
      <w:r>
        <w:rPr>
          <w:b/>
        </w:rPr>
        <w:t>E. 2</w:t>
      </w:r>
    </w:p>
    <w:p>
      <w:r>
        <w:t>Streitig und zu prüfen ist, ob das Honorar des Geschäftsführers des Schwimmbades der Y. SA mit Sitz in Z. FZ- rechtlicher Sicht zum massgebenden Lohn, d.h. zum Einkommen aus unselbstständiger Erwerbstätigkeit, gehört und ob bejahendenfalls die von der CIVAF vorgenommene Beitragserhebung auf lediglich gutgeschriebenen Entgelten korrekt ist, nachdem der Beschwerdeführer darauf verzichtet hat.</w:t>
      </w:r>
    </w:p>
    <w:p>
      <w:r>
        <w:rPr>
          <w:b/>
        </w:rPr>
        <w:t>E. 3</w:t>
      </w:r>
    </w:p>
    <w:p>
      <w:r>
        <w:t>AHVG in Verbindung mit Art. 28bis AHVV) ausübte oder nicht. Massgebend für die Beitragspflicht Erwerbstätiger sind somit die tatsächlichen Verhältnisse im Zeitpunkt der Ausübung der Erwerbstätigkeit. Zwischen dem Realisierungsprinzip und der Beitragspflicht ist deshalb keine notwendige Verknüpfung gegeben (BGE 111 V 166 E. 4a mit Hinweisen und BGE 110 V 227 E. 3a). Ein Beitragspflichtiger kann demzufolge schon vor dem Eingang der ersten Einkünfte den Status eines Selbstständigerwerbenden bzw. Unselbstständigerwerbenden haben und entsprechend beitragspflichtig werden.</w:t>
      </w:r>
    </w:p>
    <w:p>
      <w:r>
        <w:t>118</w:t>
      </w:r>
    </w:p>
    <w:p>
      <w:r>
        <w:rPr>
          <w:b/>
        </w:rPr>
        <w:t>E. 4</w:t>
      </w:r>
    </w:p>
    <w:p>
      <w:r>
        <w:t>a) Hinsichtlich der Qualifikation der vorliegend vom Beschwerdeführer erzielten Entschädigungen hat die CIVAF in richtiger Weise erkannt, dass es sich um AHV- bzw. FZ-pflichtiges Honorar handelt. W. ist als Verwalter des Schwimmbades tätig. Ihm obliegt gemäss Arbeitsvertrag die Führung der Anlage, wobei ihm hinsichtlich der Öffnungszeiten, des Unterhalts und der Abrechnung Weisungen erteilt wurden. Er hat die Beschlüsse der Betreiberin zu beachten und auszuführen. Mithin steht er der Y. SA, gegenüber welcher er rechenschaftspflichtig ist, in einem Subordinationsverhältnis. Das Vorliegen eines solchen ist ebenso wie das Weisungsrecht der Betreiberin ein typisches Merkmal für eine unselbstständige Erwerbstätigkeit des Verwalters. In der Regel ist jeder Verwalter / Geschäftsführer in der Arbeitsorganisation weitgehend frei. So ist auch bei W. davon auszugehen, dass er sich seine Arbeit als Geschäftsführer eigenständig einteilt. Die Übernahme der Verwaltung beinhaltet aber kein Unternehmerrisiko. Er trägt kein spezifisches Verlustrisiko, was im Vertrag zwischen ihm und der Betreiberin explizit festgehalten wurde. Für die ihm übertragenen Aufgaben erhält er ein regelmässiges, fixes Gehalt. Das einzige Risiko des Verwalters besteht mithin darin, dass ihm die Verwaltung entzogen werden könnte, womit die Entschädigung für die Zukunft entfallen würde. In diesem Punkt unterscheidet er sich aber nicht vom Arbeitnehmer, der gestützt auf einen auf unbestimmte Zeit abgeschlossenen Arbeitsvertrag im Sinne von Art. 319 Abs. 1 OR für einen einzigen Arbeitgeber tätig ist; denn für diesen besteht gleichermassen die Gefahr einer Kündigung (vgl. Art. 335 OR) und damit des Wegfalles seines Lohnes (vgl. AHI 1996 242 E. 3c; BGE 119 V 161 E. 3b). Das fehlende Unternehmerrisiko des Verwalters ist ein weiteres Merkmal für eine unselbstständige Tätigkeit (vgl. Rz 1014 WML). Sodann handelt er im Rahmen seiner Tätigkeit nicht in seinem eigenen Namen. Das Gericht gelangt somit zum Schluss, dass W. die Verwaltung der Schwimmbadanlage in unselbstständiger Stellung ausübt. b) Entsprechend sind auf den ausbezahlten Entgelten Beiträge zu entrichten. Die CIVAF hat ihre Auffassung, ebenfalls auf die nur gutgeschriebenen Entgelte, sei im Zeitpunkt der Gutschrift der Beitrag zu erheben, aus der Randziffer 1009 der WML abgeleitet. Danach gilt ausnahmsweise das Entgelt durch die Gutschrift als realisiert, wobei die Beiträge in diesem Zeitpunkt zu entrichten sind. Ergänzend wird sodann festgehalten, dass ein gutgeschriebenes Entgelt jedenfalls dann als realisiert gilt, wenn es einer Forderung entspricht, die einen wirtschaftlichen Wert darstellt und über welche die Arbeitnehmenden ver-</w:t>
      </w:r>
    </w:p>
    <w:p>
      <w:r>
        <w:t>119 fügen können. Demgegenüber gelten gutgeschriebene Entgelte, die eine blosse Anwartschaft auf Lohn bilden, nicht als realisiert (Rz 1010 WML). Gemäss Ziffer 1011 WML darf schliesslich, sofern eine versicherte Person ausnahmsweise für eine in unselbstständiger Stellung geleistete Arbeit kein Entgelt erhält, nicht ein Entgelt in der Höhe, wie es unter den gegebenen Umständen üblich ist, angenommen werden (kein fiktiver Lohn). In casu ist unbestritten, dass der Beschwerdeführer für in den Jahren 2003-2005 geleistete Arbeit aus Liquiditätsgründen der Betreiberin kein vollständiges Entgelt erhalten hat und ihm der Betrag von Fr. 27'717.-- lediglich gutgeschrieben wurde. Damit wurde sinngemäss eine Vereinbarung zwischen Arbeitgeber und Arbeitnehmer über eine Lohnstundung geschlossen, was als zulässig gilt, soweit sie zur Erhaltung des Arbeitsplatzes bei vorübergehender Illiquidität des Arbeitgebers getroffen wurde (Staehelin, Kommentar zum Schweizerischen Zivilgesetzbuch, Obligationenrecht, Der Arbeitsvertrag, 3. Aufl., N. 22 zu Art. 323b). Demnach wäre - gestützt auf die Ausnahmeregelung - im Zeitpunkt der Gutschrift der FZ-Beitrag zu erheben. Der Beschwerdeführer bringt nun aber vor, auf die Forderung verzichtet zu haben. Ein Lohnverzicht ist nicht leichthin anzunehmen. Gemäss Rechtsprechung lässt ein "Stehenlassen" von Lohnforderungen nicht ohne weiteres den Schluss auf einen Lohnverzicht zu (BGE 131 V 444 E. 3.3). Anders verhält es sich bei einem klaren Verzicht der versicherten Person auf der Beitragspflicht unterliegende Forderungen aus dem Arbeits- oder Dienstverhältnis (BGE 131 V 444 E. 3.1.2, 126 V 374; ARV 1999 N. 8 S. 34 E. 3b). Zu denken ist hier vorab an einen ganzen oder teilweisen, allenfalls durch konkludentes Verhalten erfolgten Forderungsverzicht des Arbeitnehmers durch gegenseitige Übereinkunft mit dem Arbeitgeber (Art. 115 OR). Dies trifft im vorliegenden Fall zu. Der sowohl vom Arbeitgeber, nämlich von C., als auch vom Arbeitnehmer bzw. dem Beschwerdeführer, unterzeichnete Verzicht bezieht sich auf die der Beitragspflicht unterliegende, strittige Forderung von Fr. 27'717.--. Der Verzicht wurde seitens des Beschwerdeführers mehrfach schriftlich dokumentiert und ist im Grundsatz von der CIVAF nicht bestritten worden. Mithin ist ein ursprünglich bestandener lohnmässiger Entschädigungsanspruch untergegangen und kann nicht mehr klageweise geltend gemacht werden. Das Beharren der CIVAF auf den buchhalterischen Beweis widerspricht unter diesen Voraussetzungen den gesetzlichen Vorgaben und ist unzulässig. Die Beitragsforderung von Fr. 301.65 erweist sich somit nicht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